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lineRule="auto"/>
        <w:jc w:val="center"/>
        <w:rPr>
          <w:rFonts w:ascii="EB Garamond" w:cs="EB Garamond" w:eastAsia="EB Garamond" w:hAnsi="EB Garamond"/>
          <w:color w:val="2e4057"/>
          <w:sz w:val="36"/>
          <w:szCs w:val="36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color w:val="2e4057"/>
          <w:sz w:val="36"/>
          <w:szCs w:val="36"/>
          <w:rtl w:val="0"/>
        </w:rPr>
        <w:t xml:space="preserve">Thuy (Tyler) Hoang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60" w:lineRule="auto"/>
        <w:jc w:val="center"/>
        <w:rPr>
          <w:rFonts w:ascii="EB Garamond" w:cs="EB Garamond" w:eastAsia="EB Garamond" w:hAnsi="EB Garamond"/>
          <w:color w:val="555555"/>
          <w:sz w:val="18"/>
          <w:szCs w:val="18"/>
        </w:rPr>
      </w:pPr>
      <w:r w:rsidDel="00000000" w:rsidR="00000000" w:rsidRPr="00000000">
        <w:rPr>
          <w:rFonts w:ascii="EB Garamond" w:cs="EB Garamond" w:eastAsia="EB Garamond" w:hAnsi="EB Garamond"/>
          <w:color w:val="555555"/>
          <w:sz w:val="18"/>
          <w:szCs w:val="18"/>
          <w:rtl w:val="0"/>
        </w:rPr>
        <w:t xml:space="preserve">https://www.tylerhoang.xyz  •  linkedin.com/in/thuyghoang  •  Fountain Valley, CA  •  (949) 740-6969  •  tyler@tylerhoang.xyz</w:t>
      </w:r>
    </w:p>
    <w:p w:rsidR="00000000" w:rsidDel="00000000" w:rsidP="00000000" w:rsidRDefault="00000000" w:rsidRPr="00000000" w14:paraId="00000003">
      <w:pPr>
        <w:pBdr>
          <w:bottom w:color="2e4057" w:space="3" w:sz="6" w:val="single"/>
        </w:pBdr>
        <w:spacing w:after="28" w:before="52" w:lineRule="auto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color w:val="2e4057"/>
          <w:sz w:val="22"/>
          <w:szCs w:val="22"/>
          <w:rtl w:val="0"/>
        </w:rPr>
        <w:t xml:space="preserve">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" w:line="240" w:lineRule="auto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color w:val="1a1a1a"/>
          <w:sz w:val="18"/>
          <w:szCs w:val="18"/>
          <w:rtl w:val="0"/>
        </w:rPr>
        <w:t xml:space="preserve">Fixed Income &amp; Portfolio Management candidate with deep expertise in credit analysis, DCF modeling, and Python-driven data pipelines. CFA Level I candidate (Aug 2026) and MS Financial Analytics student (CSULB) with a proven track record of engineering custom valuation tools and executing independent credit research.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2e4057" w:space="3" w:sz="6" w:val="single"/>
        </w:pBdr>
        <w:spacing w:after="28" w:before="52" w:lineRule="auto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color w:val="2e4057"/>
          <w:sz w:val="22"/>
          <w:szCs w:val="22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right" w:leader="none" w:pos="9360"/>
        </w:tabs>
        <w:spacing w:after="4" w:before="40" w:lineRule="auto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color w:val="1a1a1a"/>
          <w:rtl w:val="0"/>
        </w:rPr>
        <w:t xml:space="preserve">M.S. Financial Analytics </w:t>
      </w:r>
      <w:r w:rsidDel="00000000" w:rsidR="00000000" w:rsidRPr="00000000">
        <w:rPr>
          <w:rFonts w:ascii="EB Garamond" w:cs="EB Garamond" w:eastAsia="EB Garamond" w:hAnsi="EB Garamond"/>
          <w:i w:val="1"/>
          <w:iCs w:val="1"/>
          <w:color w:val="555555"/>
          <w:sz w:val="19"/>
          <w:szCs w:val="19"/>
          <w:rtl w:val="0"/>
        </w:rPr>
        <w:t xml:space="preserve">Expected Aug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30" w:lineRule="auto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i w:val="1"/>
          <w:iCs w:val="1"/>
          <w:color w:val="555555"/>
          <w:sz w:val="19"/>
          <w:szCs w:val="19"/>
          <w:rtl w:val="0"/>
        </w:rPr>
        <w:t xml:space="preserve">GPA: 3.75  •  California State University, Long Beach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30" w:lineRule="auto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color w:val="555555"/>
          <w:sz w:val="19"/>
          <w:szCs w:val="19"/>
          <w:rtl w:val="0"/>
        </w:rPr>
        <w:t xml:space="preserve">Relevant Coursework: Derivatives, Fixed Income Securities, Equity Valuation, Quantitative Analysis, Financial Reporting &amp; Analysis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right" w:leader="none" w:pos="9360"/>
        </w:tabs>
        <w:spacing w:after="4" w:before="40" w:lineRule="auto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color w:val="1a1a1a"/>
          <w:rtl w:val="0"/>
        </w:rPr>
        <w:t xml:space="preserve">B.A. Business Administration / Finance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30" w:lineRule="auto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i w:val="1"/>
          <w:iCs w:val="1"/>
          <w:color w:val="555555"/>
          <w:sz w:val="19"/>
          <w:szCs w:val="19"/>
          <w:rtl w:val="0"/>
        </w:rPr>
        <w:t xml:space="preserve">GPA: 3.75  •  California State University, Fullerton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right" w:leader="none" w:pos="9360"/>
        </w:tabs>
        <w:spacing w:after="4" w:before="40" w:lineRule="auto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color w:val="1a1a1a"/>
          <w:rtl w:val="0"/>
        </w:rPr>
        <w:t xml:space="preserve">A.A. Business Administration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30" w:lineRule="auto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i w:val="1"/>
          <w:iCs w:val="1"/>
          <w:color w:val="555555"/>
          <w:sz w:val="19"/>
          <w:szCs w:val="19"/>
          <w:rtl w:val="0"/>
        </w:rPr>
        <w:t xml:space="preserve">GPA: 4.0  •  Orange Coast College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bottom w:color="2e4057" w:space="3" w:sz="6" w:val="single"/>
        </w:pBdr>
        <w:spacing w:after="28" w:before="52" w:lineRule="auto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color w:val="2e4057"/>
          <w:sz w:val="22"/>
          <w:szCs w:val="22"/>
          <w:rtl w:val="0"/>
        </w:rPr>
        <w:t xml:space="preserve">SELECTED PROJECTS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right" w:leader="none" w:pos="9360"/>
        </w:tabs>
        <w:spacing w:after="4" w:before="40" w:lineRule="auto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color w:val="1a1a1a"/>
          <w:rtl w:val="0"/>
        </w:rPr>
        <w:t xml:space="preserve">Prism — Equity &amp; Credit Research Dashboard </w:t>
      </w:r>
      <w:r w:rsidDel="00000000" w:rsidR="00000000" w:rsidRPr="00000000">
        <w:rPr>
          <w:rFonts w:ascii="EB Garamond" w:cs="EB Garamond" w:eastAsia="EB Garamond" w:hAnsi="EB Garamond"/>
          <w:i w:val="1"/>
          <w:iCs w:val="1"/>
          <w:color w:val="555555"/>
          <w:sz w:val="19"/>
          <w:szCs w:val="19"/>
          <w:rtl w:val="0"/>
        </w:rPr>
        <w:t xml:space="preserve">Spring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288" w:right="0" w:hanging="180"/>
        <w:jc w:val="left"/>
        <w:rPr/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mallCaps w:val="0"/>
          <w:strike w:val="0"/>
          <w:color w:val="1a1a1a"/>
          <w:sz w:val="18"/>
          <w:szCs w:val="18"/>
          <w:u w:val="none"/>
          <w:shd w:fill="auto" w:val="clear"/>
          <w:vertAlign w:val="baseline"/>
          <w:rtl w:val="0"/>
        </w:rPr>
        <w:t xml:space="preserve">Engineered a FastAPI + Next.js dashboard</w:t>
      </w:r>
      <w:r w:rsidDel="00000000" w:rsidR="00000000" w:rsidRPr="00000000">
        <w:rPr>
          <w:rFonts w:ascii="EB Garamond" w:cs="EB Garamond" w:eastAsia="EB Garamond" w:hAnsi="EB Garamond"/>
          <w:i w:val="0"/>
          <w:iCs w:val="0"/>
          <w:smallCaps w:val="0"/>
          <w:strike w:val="0"/>
          <w:color w:val="1a1a1a"/>
          <w:sz w:val="18"/>
          <w:szCs w:val="18"/>
          <w:u w:val="none"/>
          <w:shd w:fill="auto" w:val="clear"/>
          <w:vertAlign w:val="baseline"/>
          <w:rtl w:val="0"/>
        </w:rPr>
        <w:t xml:space="preserve"> automating equity and credit research pipelines, cutting manual data prep 40% and eliminating look-through errors across all valuation outputs.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288" w:right="0" w:hanging="180"/>
        <w:jc w:val="left"/>
        <w:rPr/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mallCaps w:val="0"/>
          <w:strike w:val="0"/>
          <w:color w:val="1a1a1a"/>
          <w:sz w:val="18"/>
          <w:szCs w:val="18"/>
          <w:u w:val="none"/>
          <w:shd w:fill="auto" w:val="clear"/>
          <w:vertAlign w:val="baseline"/>
          <w:rtl w:val="0"/>
        </w:rPr>
        <w:t xml:space="preserve">Built custom enterprise value and net debt bridge algorithms</w:t>
      </w:r>
      <w:r w:rsidDel="00000000" w:rsidR="00000000" w:rsidRPr="00000000">
        <w:rPr>
          <w:rFonts w:ascii="EB Garamond" w:cs="EB Garamond" w:eastAsia="EB Garamond" w:hAnsi="EB Garamond"/>
          <w:i w:val="0"/>
          <w:iCs w:val="0"/>
          <w:smallCaps w:val="0"/>
          <w:strike w:val="0"/>
          <w:color w:val="1a1a1a"/>
          <w:sz w:val="18"/>
          <w:szCs w:val="18"/>
          <w:u w:val="none"/>
          <w:shd w:fill="auto" w:val="clear"/>
          <w:vertAlign w:val="baseline"/>
          <w:rtl w:val="0"/>
        </w:rPr>
        <w:t xml:space="preserve"> from scratch, parsing raw 10-K/10-Q filings into SEC taxonomy for precise DCF and EV/EBITDA across 50+ peer companies.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right" w:leader="none" w:pos="9360"/>
        </w:tabs>
        <w:spacing w:after="4" w:before="40" w:lineRule="auto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color w:val="1a1a1a"/>
          <w:rtl w:val="0"/>
        </w:rPr>
        <w:t xml:space="preserve">Boeing Independent Credit Analysis </w:t>
      </w:r>
      <w:r w:rsidDel="00000000" w:rsidR="00000000" w:rsidRPr="00000000">
        <w:rPr>
          <w:rFonts w:ascii="EB Garamond" w:cs="EB Garamond" w:eastAsia="EB Garamond" w:hAnsi="EB Garamond"/>
          <w:i w:val="1"/>
          <w:iCs w:val="1"/>
          <w:color w:val="555555"/>
          <w:sz w:val="19"/>
          <w:szCs w:val="19"/>
          <w:rtl w:val="0"/>
        </w:rPr>
        <w:t xml:space="preserve">Fall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288" w:right="0" w:hanging="180"/>
        <w:jc w:val="left"/>
        <w:rPr/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mallCaps w:val="0"/>
          <w:strike w:val="0"/>
          <w:color w:val="1a1a1a"/>
          <w:sz w:val="18"/>
          <w:szCs w:val="18"/>
          <w:u w:val="none"/>
          <w:shd w:fill="auto" w:val="clear"/>
          <w:vertAlign w:val="baseline"/>
          <w:rtl w:val="0"/>
        </w:rPr>
        <w:t xml:space="preserve">Executed independent credit analysis</w:t>
      </w:r>
      <w:r w:rsidDel="00000000" w:rsidR="00000000" w:rsidRPr="00000000">
        <w:rPr>
          <w:rFonts w:ascii="EB Garamond" w:cs="EB Garamond" w:eastAsia="EB Garamond" w:hAnsi="EB Garamond"/>
          <w:i w:val="0"/>
          <w:iCs w:val="0"/>
          <w:smallCaps w:val="0"/>
          <w:strike w:val="0"/>
          <w:color w:val="1a1a1a"/>
          <w:sz w:val="18"/>
          <w:szCs w:val="18"/>
          <w:u w:val="none"/>
          <w:shd w:fill="auto" w:val="clear"/>
          <w:vertAlign w:val="baseline"/>
          <w:rtl w:val="0"/>
        </w:rPr>
        <w:t xml:space="preserve"> on Boeing, modeling interest coverage (–3.48x) and a $17.8B debt maturity waterfall to identify severe near-term refinancing risk across 2025–2029.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288" w:right="0" w:hanging="180"/>
        <w:jc w:val="left"/>
        <w:rPr/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mallCaps w:val="0"/>
          <w:strike w:val="0"/>
          <w:color w:val="1a1a1a"/>
          <w:sz w:val="18"/>
          <w:szCs w:val="18"/>
          <w:u w:val="none"/>
          <w:shd w:fill="auto" w:val="clear"/>
          <w:vertAlign w:val="baseline"/>
          <w:rtl w:val="0"/>
        </w:rPr>
        <w:t xml:space="preserve">Quantified credit risk premium</w:t>
      </w:r>
      <w:r w:rsidDel="00000000" w:rsidR="00000000" w:rsidRPr="00000000">
        <w:rPr>
          <w:rFonts w:ascii="EB Garamond" w:cs="EB Garamond" w:eastAsia="EB Garamond" w:hAnsi="EB Garamond"/>
          <w:i w:val="0"/>
          <w:iCs w:val="0"/>
          <w:smallCaps w:val="0"/>
          <w:strike w:val="0"/>
          <w:color w:val="1a1a1a"/>
          <w:sz w:val="18"/>
          <w:szCs w:val="18"/>
          <w:u w:val="none"/>
          <w:shd w:fill="auto" w:val="clear"/>
          <w:vertAlign w:val="baseline"/>
          <w:rtl w:val="0"/>
        </w:rPr>
        <w:t xml:space="preserve"> at a 178 bps spread over Treasuries — a 64 bps widening vs. the BBB- peer average — driven by deteriorating liquidity and negative operating cash flow.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right" w:leader="none" w:pos="9360"/>
        </w:tabs>
        <w:spacing w:after="4" w:before="40" w:lineRule="auto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color w:val="1a1a1a"/>
          <w:rtl w:val="0"/>
        </w:rPr>
        <w:t xml:space="preserve">PM New Product Valuation (FIN 600) </w:t>
      </w:r>
      <w:r w:rsidDel="00000000" w:rsidR="00000000" w:rsidRPr="00000000">
        <w:rPr>
          <w:rFonts w:ascii="EB Garamond" w:cs="EB Garamond" w:eastAsia="EB Garamond" w:hAnsi="EB Garamond"/>
          <w:i w:val="1"/>
          <w:iCs w:val="1"/>
          <w:color w:val="555555"/>
          <w:sz w:val="19"/>
          <w:szCs w:val="19"/>
          <w:rtl w:val="0"/>
        </w:rPr>
        <w:t xml:space="preserve">Fall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288" w:right="0" w:hanging="180"/>
        <w:jc w:val="left"/>
        <w:rPr/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mallCaps w:val="0"/>
          <w:strike w:val="0"/>
          <w:color w:val="1a1a1a"/>
          <w:sz w:val="18"/>
          <w:szCs w:val="18"/>
          <w:u w:val="none"/>
          <w:shd w:fill="auto" w:val="clear"/>
          <w:vertAlign w:val="baseline"/>
          <w:rtl w:val="0"/>
        </w:rPr>
        <w:t xml:space="preserve">Developed a 14-year FCFE DCF model</w:t>
      </w:r>
      <w:r w:rsidDel="00000000" w:rsidR="00000000" w:rsidRPr="00000000">
        <w:rPr>
          <w:rFonts w:ascii="EB Garamond" w:cs="EB Garamond" w:eastAsia="EB Garamond" w:hAnsi="EB Garamond"/>
          <w:i w:val="0"/>
          <w:iCs w:val="0"/>
          <w:smallCaps w:val="0"/>
          <w:strike w:val="0"/>
          <w:color w:val="1a1a1a"/>
          <w:sz w:val="18"/>
          <w:szCs w:val="18"/>
          <w:u w:val="none"/>
          <w:shd w:fill="auto" w:val="clear"/>
          <w:vertAlign w:val="baseline"/>
          <w:rtl w:val="0"/>
        </w:rPr>
        <w:t xml:space="preserve"> for a consumer product extension, forecasting revenue, margins, and WACC (6.90%) to a $2.59B NPV and 45% IRR under base-case assumptions.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288" w:right="0" w:hanging="180"/>
        <w:jc w:val="left"/>
        <w:rPr/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mallCaps w:val="0"/>
          <w:strike w:val="0"/>
          <w:color w:val="1a1a1a"/>
          <w:sz w:val="18"/>
          <w:szCs w:val="18"/>
          <w:u w:val="none"/>
          <w:shd w:fill="auto" w:val="clear"/>
          <w:vertAlign w:val="baseline"/>
          <w:rtl w:val="0"/>
        </w:rPr>
        <w:t xml:space="preserve">Stress-tested valuation</w:t>
      </w:r>
      <w:r w:rsidDel="00000000" w:rsidR="00000000" w:rsidRPr="00000000">
        <w:rPr>
          <w:rFonts w:ascii="EB Garamond" w:cs="EB Garamond" w:eastAsia="EB Garamond" w:hAnsi="EB Garamond"/>
          <w:i w:val="0"/>
          <w:iCs w:val="0"/>
          <w:smallCaps w:val="0"/>
          <w:strike w:val="0"/>
          <w:color w:val="1a1a1a"/>
          <w:sz w:val="18"/>
          <w:szCs w:val="18"/>
          <w:u w:val="none"/>
          <w:shd w:fill="auto" w:val="clear"/>
          <w:vertAlign w:val="baseline"/>
          <w:rtl w:val="0"/>
        </w:rPr>
        <w:t xml:space="preserve"> across EBIT-margin and cost-of-sales scenarios, validating project viability and recommending debt-equity financing within leverage constraints.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bottom w:color="2e4057" w:space="3" w:sz="6" w:val="single"/>
        </w:pBdr>
        <w:spacing w:after="28" w:before="52" w:lineRule="auto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color w:val="2e4057"/>
          <w:sz w:val="22"/>
          <w:szCs w:val="22"/>
          <w:rtl w:val="0"/>
        </w:rPr>
        <w:t xml:space="preserve">WORK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right" w:leader="none" w:pos="9360"/>
        </w:tabs>
        <w:spacing w:after="4" w:before="40" w:lineRule="auto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color w:val="1a1a1a"/>
          <w:rtl w:val="0"/>
        </w:rPr>
        <w:t xml:space="preserve">JPMorgan Chase  •  Associate Banker </w:t>
      </w:r>
      <w:r w:rsidDel="00000000" w:rsidR="00000000" w:rsidRPr="00000000">
        <w:rPr>
          <w:rFonts w:ascii="EB Garamond" w:cs="EB Garamond" w:eastAsia="EB Garamond" w:hAnsi="EB Garamond"/>
          <w:i w:val="1"/>
          <w:iCs w:val="1"/>
          <w:color w:val="555555"/>
          <w:sz w:val="19"/>
          <w:szCs w:val="19"/>
          <w:rtl w:val="0"/>
        </w:rPr>
        <w:t xml:space="preserve">Oct 2024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288" w:right="0" w:hanging="180"/>
        <w:jc w:val="left"/>
        <w:rPr/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mallCaps w:val="0"/>
          <w:strike w:val="0"/>
          <w:color w:val="1a1a1a"/>
          <w:sz w:val="18"/>
          <w:szCs w:val="18"/>
          <w:u w:val="none"/>
          <w:shd w:fill="auto" w:val="clear"/>
          <w:vertAlign w:val="baseline"/>
          <w:rtl w:val="0"/>
        </w:rPr>
        <w:t xml:space="preserve">Forecast cash demand and rebalanced vault reserves</w:t>
      </w:r>
      <w:r w:rsidDel="00000000" w:rsidR="00000000" w:rsidRPr="00000000">
        <w:rPr>
          <w:rFonts w:ascii="EB Garamond" w:cs="EB Garamond" w:eastAsia="EB Garamond" w:hAnsi="EB Garamond"/>
          <w:i w:val="0"/>
          <w:iCs w:val="0"/>
          <w:smallCaps w:val="0"/>
          <w:strike w:val="0"/>
          <w:color w:val="1a1a1a"/>
          <w:sz w:val="18"/>
          <w:szCs w:val="18"/>
          <w:u w:val="none"/>
          <w:shd w:fill="auto" w:val="clear"/>
          <w:vertAlign w:val="baseline"/>
          <w:rtl w:val="0"/>
        </w:rPr>
        <w:t xml:space="preserve"> across 2,000+ monthly branch transactions, maintaining zero discrepancies in daily liquidity and ATM operations.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288" w:right="0" w:hanging="180"/>
        <w:jc w:val="left"/>
        <w:rPr/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mallCaps w:val="0"/>
          <w:strike w:val="0"/>
          <w:color w:val="1a1a1a"/>
          <w:sz w:val="18"/>
          <w:szCs w:val="18"/>
          <w:u w:val="none"/>
          <w:shd w:fill="auto" w:val="clear"/>
          <w:vertAlign w:val="baseline"/>
          <w:rtl w:val="0"/>
        </w:rPr>
        <w:t xml:space="preserve">Applied BSA/AML/KYC controls</w:t>
      </w:r>
      <w:r w:rsidDel="00000000" w:rsidR="00000000" w:rsidRPr="00000000">
        <w:rPr>
          <w:rFonts w:ascii="EB Garamond" w:cs="EB Garamond" w:eastAsia="EB Garamond" w:hAnsi="EB Garamond"/>
          <w:i w:val="0"/>
          <w:iCs w:val="0"/>
          <w:smallCaps w:val="0"/>
          <w:strike w:val="0"/>
          <w:color w:val="1a1a1a"/>
          <w:sz w:val="18"/>
          <w:szCs w:val="18"/>
          <w:u w:val="none"/>
          <w:shd w:fill="auto" w:val="clear"/>
          <w:vertAlign w:val="baseline"/>
          <w:rtl w:val="0"/>
        </w:rPr>
        <w:t xml:space="preserve"> through identity verification and suspicious-wire flagging, sustaining a 100% audit-ready operational environment.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288" w:right="0" w:hanging="180"/>
        <w:jc w:val="left"/>
        <w:rPr/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mallCaps w:val="0"/>
          <w:strike w:val="0"/>
          <w:color w:val="1a1a1a"/>
          <w:sz w:val="18"/>
          <w:szCs w:val="18"/>
          <w:u w:val="none"/>
          <w:shd w:fill="auto" w:val="clear"/>
          <w:vertAlign w:val="baseline"/>
          <w:rtl w:val="0"/>
        </w:rPr>
        <w:t xml:space="preserve">Grew referral-driven deposits 15% month-over-month</w:t>
      </w:r>
      <w:r w:rsidDel="00000000" w:rsidR="00000000" w:rsidRPr="00000000">
        <w:rPr>
          <w:rFonts w:ascii="EB Garamond" w:cs="EB Garamond" w:eastAsia="EB Garamond" w:hAnsi="EB Garamond"/>
          <w:i w:val="0"/>
          <w:iCs w:val="0"/>
          <w:smallCaps w:val="0"/>
          <w:strike w:val="0"/>
          <w:color w:val="1a1a1a"/>
          <w:sz w:val="18"/>
          <w:szCs w:val="18"/>
          <w:u w:val="none"/>
          <w:shd w:fill="auto" w:val="clear"/>
          <w:vertAlign w:val="baseline"/>
          <w:rtl w:val="0"/>
        </w:rPr>
        <w:t xml:space="preserve"> by analyzing deposit behavior to surface money market and CD opportunities.</w:t>
      </w:r>
    </w:p>
    <w:p w:rsidR="00000000" w:rsidDel="00000000" w:rsidP="00000000" w:rsidRDefault="00000000" w:rsidRPr="00000000" w14:paraId="0000001C">
      <w:pPr>
        <w:spacing w:after="20" w:lineRule="auto"/>
        <w:rPr>
          <w:rFonts w:ascii="EB Garamond" w:cs="EB Garamond" w:eastAsia="EB Garamond" w:hAnsi="EB Garamond"/>
          <w:i w:val="1"/>
          <w:iCs w:val="1"/>
          <w:sz w:val="19"/>
          <w:szCs w:val="19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rtl w:val="0"/>
        </w:rPr>
        <w:t xml:space="preserve">Financial Representative | Modern Woodmen of America</w:t>
      </w:r>
      <w:r w:rsidDel="00000000" w:rsidR="00000000" w:rsidRPr="00000000">
        <w:rPr>
          <w:rFonts w:ascii="EB Garamond" w:cs="EB Garamond" w:eastAsia="EB Garamond" w:hAnsi="EB Garamond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EB Garamond" w:cs="EB Garamond" w:eastAsia="EB Garamond" w:hAnsi="EB Garamond"/>
          <w:i w:val="1"/>
          <w:iCs w:val="1"/>
          <w:sz w:val="19"/>
          <w:szCs w:val="19"/>
          <w:rtl w:val="0"/>
        </w:rPr>
        <w:t xml:space="preserve">Jun 2024 – Oct 2024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20" w:lineRule="auto"/>
        <w:ind w:left="288" w:hanging="180"/>
        <w:rPr/>
      </w:pPr>
      <w:r w:rsidDel="00000000" w:rsidR="00000000" w:rsidRPr="00000000">
        <w:rPr>
          <w:rFonts w:ascii="EB Garamond" w:cs="EB Garamond" w:eastAsia="EB Garamond" w:hAnsi="EB Garamond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18"/>
          <w:szCs w:val="18"/>
          <w:rtl w:val="0"/>
        </w:rPr>
        <w:t xml:space="preserve">Grew assets under management across 3 client portfolios</w:t>
      </w:r>
      <w:r w:rsidDel="00000000" w:rsidR="00000000" w:rsidRPr="00000000">
        <w:rPr>
          <w:rFonts w:ascii="EB Garamond" w:cs="EB Garamond" w:eastAsia="EB Garamond" w:hAnsi="EB Garamond"/>
          <w:sz w:val="18"/>
          <w:szCs w:val="18"/>
          <w:rtl w:val="0"/>
        </w:rPr>
        <w:t xml:space="preserve"> by delivering customized retirement and wealth plans aligned to each client’s risk profile and lifestage goals.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20" w:lineRule="auto"/>
        <w:ind w:left="288" w:hanging="180"/>
        <w:rPr/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18"/>
          <w:szCs w:val="18"/>
          <w:rtl w:val="0"/>
        </w:rPr>
        <w:t xml:space="preserve">Shortened sales cycles</w:t>
      </w:r>
      <w:r w:rsidDel="00000000" w:rsidR="00000000" w:rsidRPr="00000000">
        <w:rPr>
          <w:rFonts w:ascii="EB Garamond" w:cs="EB Garamond" w:eastAsia="EB Garamond" w:hAnsi="EB Garamond"/>
          <w:sz w:val="18"/>
          <w:szCs w:val="18"/>
          <w:rtl w:val="0"/>
        </w:rPr>
        <w:t xml:space="preserve"> by refining consultative outreach across full engagement cycles—from cold prospecting through needs assessment and close.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bottom w:color="2e4057" w:space="3" w:sz="6" w:val="single"/>
        </w:pBdr>
        <w:spacing w:after="28" w:before="52" w:lineRule="auto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color w:val="2e4057"/>
          <w:sz w:val="22"/>
          <w:szCs w:val="22"/>
          <w:rtl w:val="0"/>
        </w:rPr>
        <w:t xml:space="preserve">CERTIFICATIONS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right" w:leader="none" w:pos="9360"/>
        </w:tabs>
        <w:spacing w:after="4" w:before="40" w:lineRule="auto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color w:val="1a1a1a"/>
          <w:rtl w:val="0"/>
        </w:rPr>
        <w:t xml:space="preserve">CFA Level I Candidate —</w:t>
      </w:r>
      <w:r w:rsidDel="00000000" w:rsidR="00000000" w:rsidRPr="00000000">
        <w:rPr>
          <w:rFonts w:ascii="EB Garamond" w:cs="EB Garamond" w:eastAsia="EB Garamond" w:hAnsi="EB Garamond"/>
          <w:i w:val="1"/>
          <w:iCs w:val="1"/>
          <w:color w:val="555555"/>
          <w:sz w:val="19"/>
          <w:szCs w:val="19"/>
          <w:rtl w:val="0"/>
        </w:rPr>
        <w:t xml:space="preserve"> </w:t>
      </w:r>
      <w:r w:rsidDel="00000000" w:rsidR="00000000" w:rsidRPr="00000000">
        <w:rPr>
          <w:rFonts w:ascii="EB Garamond" w:cs="EB Garamond" w:eastAsia="EB Garamond" w:hAnsi="EB Garamond"/>
          <w:color w:val="555555"/>
          <w:sz w:val="19"/>
          <w:szCs w:val="19"/>
          <w:rtl w:val="0"/>
        </w:rPr>
        <w:t xml:space="preserve">CFA Institute</w:t>
      </w:r>
      <w:r w:rsidDel="00000000" w:rsidR="00000000" w:rsidRPr="00000000">
        <w:rPr>
          <w:rFonts w:ascii="EB Garamond" w:cs="EB Garamond" w:eastAsia="EB Garamond" w:hAnsi="EB Garamond"/>
          <w:i w:val="1"/>
          <w:iCs w:val="1"/>
          <w:color w:val="555555"/>
          <w:sz w:val="19"/>
          <w:szCs w:val="19"/>
          <w:rtl w:val="0"/>
        </w:rPr>
        <w:t xml:space="preserve"> Exam: Aug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right" w:leader="none" w:pos="9360"/>
        </w:tabs>
        <w:spacing w:after="4" w:before="40" w:lineRule="auto"/>
        <w:rPr>
          <w:rFonts w:ascii="EB Garamond" w:cs="EB Garamond" w:eastAsia="EB Garamond" w:hAnsi="EB Garamond"/>
          <w:i w:val="1"/>
          <w:iCs w:val="1"/>
          <w:color w:val="555555"/>
          <w:sz w:val="19"/>
          <w:szCs w:val="19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color w:val="1a1a1a"/>
          <w:rtl w:val="0"/>
        </w:rPr>
        <w:t xml:space="preserve">Securities Industry Essentials (SIE) —</w:t>
      </w:r>
      <w:r w:rsidDel="00000000" w:rsidR="00000000" w:rsidRPr="00000000">
        <w:rPr>
          <w:rFonts w:ascii="EB Garamond" w:cs="EB Garamond" w:eastAsia="EB Garamond" w:hAnsi="EB Garamond"/>
          <w:i w:val="1"/>
          <w:iCs w:val="1"/>
          <w:color w:val="555555"/>
          <w:sz w:val="19"/>
          <w:szCs w:val="19"/>
          <w:rtl w:val="0"/>
        </w:rPr>
        <w:t xml:space="preserve"> </w:t>
      </w:r>
      <w:r w:rsidDel="00000000" w:rsidR="00000000" w:rsidRPr="00000000">
        <w:rPr>
          <w:rFonts w:ascii="EB Garamond" w:cs="EB Garamond" w:eastAsia="EB Garamond" w:hAnsi="EB Garamond"/>
          <w:color w:val="555555"/>
          <w:sz w:val="19"/>
          <w:szCs w:val="19"/>
          <w:rtl w:val="0"/>
        </w:rPr>
        <w:t xml:space="preserve">FINRA</w:t>
      </w:r>
      <w:r w:rsidDel="00000000" w:rsidR="00000000" w:rsidRPr="00000000">
        <w:rPr>
          <w:rFonts w:ascii="EB Garamond" w:cs="EB Garamond" w:eastAsia="EB Garamond" w:hAnsi="EB Garamond"/>
          <w:i w:val="1"/>
          <w:iCs w:val="1"/>
          <w:color w:val="555555"/>
          <w:sz w:val="19"/>
          <w:szCs w:val="19"/>
          <w:rtl w:val="0"/>
        </w:rPr>
        <w:t xml:space="preserve"> Passed</w:t>
      </w:r>
    </w:p>
    <w:p w:rsidR="00000000" w:rsidDel="00000000" w:rsidP="00000000" w:rsidRDefault="00000000" w:rsidRPr="00000000" w14:paraId="00000022">
      <w:pPr>
        <w:tabs>
          <w:tab w:val="right" w:leader="none" w:pos="9360"/>
        </w:tabs>
        <w:spacing w:after="4" w:before="40" w:lineRule="auto"/>
        <w:rPr>
          <w:rFonts w:ascii="EB Garamond" w:cs="EB Garamond" w:eastAsia="EB Garamond" w:hAnsi="EB Garamond"/>
          <w:color w:val="555555"/>
          <w:sz w:val="19"/>
          <w:szCs w:val="19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rtl w:val="0"/>
        </w:rPr>
        <w:t xml:space="preserve">Google AI Essentials —</w:t>
      </w:r>
      <w:r w:rsidDel="00000000" w:rsidR="00000000" w:rsidRPr="00000000">
        <w:rPr>
          <w:rFonts w:ascii="EB Garamond" w:cs="EB Garamond" w:eastAsia="EB Garamond" w:hAnsi="EB Garamond"/>
          <w:i w:val="1"/>
          <w:iCs w:val="1"/>
          <w:color w:val="555555"/>
          <w:sz w:val="19"/>
          <w:szCs w:val="19"/>
          <w:rtl w:val="0"/>
        </w:rPr>
        <w:t xml:space="preserve"> </w:t>
      </w:r>
      <w:r w:rsidDel="00000000" w:rsidR="00000000" w:rsidRPr="00000000">
        <w:rPr>
          <w:rFonts w:ascii="EB Garamond" w:cs="EB Garamond" w:eastAsia="EB Garamond" w:hAnsi="EB Garamond"/>
          <w:color w:val="555555"/>
          <w:sz w:val="19"/>
          <w:szCs w:val="19"/>
          <w:rtl w:val="0"/>
        </w:rPr>
        <w:t xml:space="preserve">Google</w:t>
      </w:r>
      <w:r w:rsidDel="00000000" w:rsidR="00000000" w:rsidRPr="00000000">
        <w:rPr>
          <w:rFonts w:ascii="EB Garamond" w:cs="EB Garamond" w:eastAsia="EB Garamond" w:hAnsi="EB Garamond"/>
          <w:i w:val="1"/>
          <w:iCs w:val="1"/>
          <w:color w:val="555555"/>
          <w:sz w:val="19"/>
          <w:szCs w:val="19"/>
          <w:rtl w:val="0"/>
        </w:rPr>
        <w:t xml:space="preserve"> Passed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bottom w:color="2e4057" w:space="3" w:sz="6" w:val="single"/>
        </w:pBdr>
        <w:spacing w:after="28" w:before="52" w:lineRule="auto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color w:val="2e4057"/>
          <w:sz w:val="22"/>
          <w:szCs w:val="22"/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0" w:line="240" w:lineRule="auto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color w:val="1a1a1a"/>
          <w:sz w:val="18"/>
          <w:szCs w:val="18"/>
          <w:rtl w:val="0"/>
        </w:rPr>
        <w:t xml:space="preserve">Programming: </w:t>
      </w:r>
      <w:r w:rsidDel="00000000" w:rsidR="00000000" w:rsidRPr="00000000">
        <w:rPr>
          <w:rFonts w:ascii="EB Garamond" w:cs="EB Garamond" w:eastAsia="EB Garamond" w:hAnsi="EB Garamond"/>
          <w:color w:val="1a1a1a"/>
          <w:sz w:val="18"/>
          <w:szCs w:val="18"/>
          <w:rtl w:val="0"/>
        </w:rPr>
        <w:t xml:space="preserve">Python (pandas, NumPy, scikit-learn, TensorFlow, statsmodels), JavaScript, SQL, Git, Linux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0" w:line="240" w:lineRule="auto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color w:val="1a1a1a"/>
          <w:sz w:val="18"/>
          <w:szCs w:val="18"/>
          <w:rtl w:val="0"/>
        </w:rPr>
        <w:t xml:space="preserve">Financial Modeling: </w:t>
      </w:r>
      <w:r w:rsidDel="00000000" w:rsidR="00000000" w:rsidRPr="00000000">
        <w:rPr>
          <w:rFonts w:ascii="EB Garamond" w:cs="EB Garamond" w:eastAsia="EB Garamond" w:hAnsi="EB Garamond"/>
          <w:color w:val="1a1a1a"/>
          <w:sz w:val="18"/>
          <w:szCs w:val="18"/>
          <w:rtl w:val="0"/>
        </w:rPr>
        <w:t xml:space="preserve">DCF/FCFE, EV/EBITDA, CAPM, WACC, Monte Carlo Simulation, Options &amp; Derivatives, Credit Analysis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0" w:line="240" w:lineRule="auto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color w:val="1a1a1a"/>
          <w:sz w:val="18"/>
          <w:szCs w:val="18"/>
          <w:rtl w:val="0"/>
        </w:rPr>
        <w:t xml:space="preserve">Tools: </w:t>
      </w:r>
      <w:r w:rsidDel="00000000" w:rsidR="00000000" w:rsidRPr="00000000">
        <w:rPr>
          <w:rFonts w:ascii="EB Garamond" w:cs="EB Garamond" w:eastAsia="EB Garamond" w:hAnsi="EB Garamond"/>
          <w:color w:val="1a1a1a"/>
          <w:sz w:val="18"/>
          <w:szCs w:val="18"/>
          <w:rtl w:val="0"/>
        </w:rPr>
        <w:t xml:space="preserve">Bloomberg Terminal, FastAPI, Next.js, Tableau, PowerPoint, Advanced Excel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0" w:line="240" w:lineRule="auto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color w:val="1a1a1a"/>
          <w:sz w:val="18"/>
          <w:szCs w:val="18"/>
          <w:rtl w:val="0"/>
        </w:rPr>
        <w:t xml:space="preserve">Languages: </w:t>
      </w:r>
      <w:r w:rsidDel="00000000" w:rsidR="00000000" w:rsidRPr="00000000">
        <w:rPr>
          <w:rFonts w:ascii="EB Garamond" w:cs="EB Garamond" w:eastAsia="EB Garamond" w:hAnsi="EB Garamond"/>
          <w:color w:val="1a1a1a"/>
          <w:sz w:val="18"/>
          <w:szCs w:val="18"/>
          <w:rtl w:val="0"/>
        </w:rPr>
        <w:t xml:space="preserve">English (Native), Vietnamese (Fluent)</w:t>
      </w:r>
      <w:r w:rsidDel="00000000" w:rsidR="00000000" w:rsidRPr="00000000">
        <w:rPr>
          <w:rtl w:val="0"/>
        </w:rPr>
      </w:r>
    </w:p>
    <w:sectPr>
      <w:pgSz w:h="15840" w:w="12240" w:orient="portrait"/>
      <w:pgMar w:bottom="432" w:top="540" w:left="1008" w:right="100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EB 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288" w:hanging="180"/>
      </w:pPr>
      <w:rPr>
        <w:rFonts w:ascii="Georgia" w:cs="Georgia" w:eastAsia="Georgia" w:hAnsi="Georgia"/>
        <w:color w:val="2e4057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eorgia" w:cs="Georgia" w:eastAsia="Georgia" w:hAnsi="Georgia"/>
        <w:color w:val="1a1a1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0"/>
      <w:iCs w:val="0"/>
      <w:smallCaps w:val="0"/>
      <w:strike w:val="0"/>
      <w:color w:val="1a1a1a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-regular.ttf"/><Relationship Id="rId2" Type="http://schemas.openxmlformats.org/officeDocument/2006/relationships/font" Target="fonts/EBGaramond-bold.ttf"/><Relationship Id="rId3" Type="http://schemas.openxmlformats.org/officeDocument/2006/relationships/font" Target="fonts/EBGaramond-italic.ttf"/><Relationship Id="rId4" Type="http://schemas.openxmlformats.org/officeDocument/2006/relationships/font" Target="fonts/EB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